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5D" w:rsidRDefault="003B37EB">
      <w:pPr>
        <w:pStyle w:val="a6"/>
        <w:widowControl/>
        <w:spacing w:before="0" w:beforeAutospacing="0" w:after="0" w:afterAutospacing="0" w:line="578" w:lineRule="exact"/>
        <w:jc w:val="center"/>
        <w:rPr>
          <w:rFonts w:ascii="Times New Roman" w:eastAsia="方正小标宋简体" w:hAnsi="Times New Roman"/>
          <w:sz w:val="44"/>
          <w:szCs w:val="44"/>
          <w:shd w:val="clear" w:color="auto" w:fill="FFFFFF"/>
        </w:rPr>
      </w:pPr>
      <w:bookmarkStart w:id="0" w:name="_GoBack"/>
      <w:r>
        <w:rPr>
          <w:rFonts w:ascii="Times New Roman" w:eastAsia="方正小标宋简体" w:hAnsi="Times New Roman"/>
          <w:sz w:val="44"/>
          <w:szCs w:val="44"/>
          <w:shd w:val="clear" w:color="auto" w:fill="FFFFFF"/>
        </w:rPr>
        <w:t>2025</w:t>
      </w:r>
      <w:r>
        <w:rPr>
          <w:rFonts w:ascii="Times New Roman" w:eastAsia="方正小标宋简体" w:hAnsi="Times New Roman"/>
          <w:sz w:val="44"/>
          <w:szCs w:val="44"/>
          <w:shd w:val="clear" w:color="auto" w:fill="FFFFFF"/>
        </w:rPr>
        <w:t>年度泸县文化广播电视和旅游局部门整体绩效目标申报表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5"/>
        <w:gridCol w:w="917"/>
        <w:gridCol w:w="1085"/>
        <w:gridCol w:w="1773"/>
        <w:gridCol w:w="1213"/>
        <w:gridCol w:w="1046"/>
        <w:gridCol w:w="1132"/>
        <w:gridCol w:w="982"/>
        <w:gridCol w:w="975"/>
      </w:tblGrid>
      <w:tr w:rsidR="00D6165D">
        <w:trPr>
          <w:trHeight w:val="397"/>
          <w:jc w:val="center"/>
        </w:trPr>
        <w:tc>
          <w:tcPr>
            <w:tcW w:w="1324" w:type="pct"/>
            <w:gridSpan w:val="3"/>
            <w:vAlign w:val="center"/>
          </w:tcPr>
          <w:bookmarkEnd w:id="0"/>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部门名称</w:t>
            </w:r>
          </w:p>
        </w:tc>
        <w:tc>
          <w:tcPr>
            <w:tcW w:w="3675" w:type="pct"/>
            <w:gridSpan w:val="6"/>
            <w:vAlign w:val="center"/>
          </w:tcPr>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泸县文化广播电视和旅游局</w:t>
            </w:r>
          </w:p>
        </w:tc>
      </w:tr>
      <w:tr w:rsidR="00D6165D">
        <w:trPr>
          <w:trHeight w:val="397"/>
          <w:jc w:val="center"/>
        </w:trPr>
        <w:tc>
          <w:tcPr>
            <w:tcW w:w="1324" w:type="pct"/>
            <w:gridSpan w:val="3"/>
            <w:vAlign w:val="center"/>
          </w:tcPr>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年度部门整体预算</w:t>
            </w:r>
          </w:p>
        </w:tc>
        <w:tc>
          <w:tcPr>
            <w:tcW w:w="1541" w:type="pct"/>
            <w:gridSpan w:val="2"/>
            <w:vAlign w:val="center"/>
          </w:tcPr>
          <w:p w:rsidR="00D6165D" w:rsidRDefault="003B37EB">
            <w:pPr>
              <w:widowControl/>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lang/>
              </w:rPr>
              <w:t>资金总额</w:t>
            </w:r>
            <w:r>
              <w:rPr>
                <w:rFonts w:ascii="Times New Roman" w:eastAsia="方正仿宋简体" w:hAnsi="Times New Roman"/>
                <w:color w:val="000000"/>
                <w:kern w:val="0"/>
                <w:szCs w:val="21"/>
                <w:lang/>
              </w:rPr>
              <w:t>（</w:t>
            </w:r>
            <w:r>
              <w:rPr>
                <w:rFonts w:ascii="Times New Roman" w:eastAsia="方正仿宋简体" w:hAnsi="Times New Roman"/>
                <w:color w:val="000000"/>
                <w:kern w:val="0"/>
                <w:szCs w:val="21"/>
                <w:lang/>
              </w:rPr>
              <w:t>万元</w:t>
            </w:r>
            <w:r>
              <w:rPr>
                <w:rFonts w:ascii="Times New Roman" w:eastAsia="方正仿宋简体" w:hAnsi="Times New Roman"/>
                <w:color w:val="000000"/>
                <w:kern w:val="0"/>
                <w:szCs w:val="21"/>
                <w:lang/>
              </w:rPr>
              <w:t>）</w:t>
            </w:r>
          </w:p>
        </w:tc>
        <w:tc>
          <w:tcPr>
            <w:tcW w:w="1124" w:type="pct"/>
            <w:gridSpan w:val="2"/>
            <w:vAlign w:val="center"/>
          </w:tcPr>
          <w:p w:rsidR="00D6165D" w:rsidRDefault="003B37EB">
            <w:pPr>
              <w:widowControl/>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lang/>
              </w:rPr>
              <w:t>财政拨款</w:t>
            </w:r>
            <w:r>
              <w:rPr>
                <w:rFonts w:ascii="Times New Roman" w:eastAsia="方正仿宋简体" w:hAnsi="Times New Roman"/>
                <w:color w:val="000000"/>
                <w:kern w:val="0"/>
                <w:szCs w:val="21"/>
                <w:lang/>
              </w:rPr>
              <w:t>（</w:t>
            </w:r>
            <w:r>
              <w:rPr>
                <w:rFonts w:ascii="Times New Roman" w:eastAsia="方正仿宋简体" w:hAnsi="Times New Roman"/>
                <w:color w:val="000000"/>
                <w:kern w:val="0"/>
                <w:szCs w:val="21"/>
                <w:lang/>
              </w:rPr>
              <w:t>万元</w:t>
            </w:r>
            <w:r>
              <w:rPr>
                <w:rFonts w:ascii="Times New Roman" w:eastAsia="方正仿宋简体" w:hAnsi="Times New Roman"/>
                <w:color w:val="000000"/>
                <w:kern w:val="0"/>
                <w:szCs w:val="21"/>
                <w:lang/>
              </w:rPr>
              <w:t>）</w:t>
            </w:r>
          </w:p>
        </w:tc>
        <w:tc>
          <w:tcPr>
            <w:tcW w:w="1009" w:type="pct"/>
            <w:gridSpan w:val="2"/>
            <w:vAlign w:val="center"/>
          </w:tcPr>
          <w:p w:rsidR="00D6165D" w:rsidRDefault="003B37EB">
            <w:pPr>
              <w:widowControl/>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lang/>
              </w:rPr>
              <w:t>其他资金</w:t>
            </w:r>
            <w:r>
              <w:rPr>
                <w:rFonts w:ascii="Times New Roman" w:eastAsia="方正仿宋简体" w:hAnsi="Times New Roman"/>
                <w:color w:val="000000"/>
                <w:kern w:val="0"/>
                <w:szCs w:val="21"/>
                <w:lang/>
              </w:rPr>
              <w:t>（</w:t>
            </w:r>
            <w:r>
              <w:rPr>
                <w:rFonts w:ascii="Times New Roman" w:eastAsia="方正仿宋简体" w:hAnsi="Times New Roman"/>
                <w:color w:val="000000"/>
                <w:kern w:val="0"/>
                <w:szCs w:val="21"/>
                <w:lang/>
              </w:rPr>
              <w:t>万元</w:t>
            </w:r>
            <w:r>
              <w:rPr>
                <w:rFonts w:ascii="Times New Roman" w:eastAsia="方正仿宋简体" w:hAnsi="Times New Roman"/>
                <w:color w:val="000000"/>
                <w:kern w:val="0"/>
                <w:szCs w:val="21"/>
                <w:lang/>
              </w:rPr>
              <w:t>）</w:t>
            </w:r>
          </w:p>
        </w:tc>
      </w:tr>
      <w:tr w:rsidR="00D6165D">
        <w:trPr>
          <w:trHeight w:val="397"/>
          <w:jc w:val="center"/>
        </w:trPr>
        <w:tc>
          <w:tcPr>
            <w:tcW w:w="1324" w:type="pct"/>
            <w:gridSpan w:val="3"/>
            <w:vAlign w:val="center"/>
          </w:tcPr>
          <w:p w:rsidR="00D6165D" w:rsidRDefault="003B37EB">
            <w:pPr>
              <w:widowControl/>
              <w:spacing w:line="260" w:lineRule="exact"/>
              <w:jc w:val="center"/>
              <w:textAlignment w:val="center"/>
              <w:rPr>
                <w:rFonts w:ascii="Times New Roman" w:eastAsia="方正仿宋简体" w:hAnsi="Times New Roman"/>
                <w:szCs w:val="21"/>
              </w:rPr>
            </w:pPr>
            <w:r>
              <w:rPr>
                <w:rFonts w:ascii="Times New Roman" w:eastAsia="方正仿宋简体" w:hAnsi="Times New Roman"/>
                <w:b/>
                <w:bCs/>
                <w:color w:val="000000"/>
                <w:kern w:val="0"/>
                <w:szCs w:val="21"/>
              </w:rPr>
              <w:t>收入预算</w:t>
            </w:r>
          </w:p>
        </w:tc>
        <w:tc>
          <w:tcPr>
            <w:tcW w:w="1541"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1973.97</w:t>
            </w:r>
          </w:p>
        </w:tc>
        <w:tc>
          <w:tcPr>
            <w:tcW w:w="1124"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1973.97</w:t>
            </w:r>
          </w:p>
        </w:tc>
        <w:tc>
          <w:tcPr>
            <w:tcW w:w="1009"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0</w:t>
            </w:r>
          </w:p>
        </w:tc>
      </w:tr>
      <w:tr w:rsidR="00D6165D">
        <w:trPr>
          <w:trHeight w:val="397"/>
          <w:jc w:val="center"/>
        </w:trPr>
        <w:tc>
          <w:tcPr>
            <w:tcW w:w="1324" w:type="pct"/>
            <w:gridSpan w:val="3"/>
            <w:vAlign w:val="center"/>
          </w:tcPr>
          <w:p w:rsidR="00D6165D" w:rsidRDefault="003B37EB">
            <w:pPr>
              <w:spacing w:line="260" w:lineRule="exact"/>
              <w:jc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支出预算</w:t>
            </w:r>
          </w:p>
        </w:tc>
        <w:tc>
          <w:tcPr>
            <w:tcW w:w="1541"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1973.97</w:t>
            </w:r>
          </w:p>
        </w:tc>
        <w:tc>
          <w:tcPr>
            <w:tcW w:w="1124"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1973.97</w:t>
            </w:r>
          </w:p>
        </w:tc>
        <w:tc>
          <w:tcPr>
            <w:tcW w:w="1009" w:type="pct"/>
            <w:gridSpan w:val="2"/>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hint="eastAsia"/>
                <w:color w:val="000000"/>
                <w:szCs w:val="21"/>
              </w:rPr>
              <w:t>0</w:t>
            </w:r>
          </w:p>
        </w:tc>
      </w:tr>
      <w:tr w:rsidR="00D6165D">
        <w:trPr>
          <w:trHeight w:val="397"/>
          <w:jc w:val="center"/>
        </w:trPr>
        <w:tc>
          <w:tcPr>
            <w:tcW w:w="1324" w:type="pct"/>
            <w:gridSpan w:val="3"/>
            <w:vAlign w:val="center"/>
          </w:tcPr>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年度总体目标</w:t>
            </w:r>
          </w:p>
        </w:tc>
        <w:tc>
          <w:tcPr>
            <w:tcW w:w="3675" w:type="pct"/>
            <w:gridSpan w:val="6"/>
            <w:vAlign w:val="center"/>
          </w:tcPr>
          <w:p w:rsidR="00D6165D" w:rsidRDefault="003B37EB">
            <w:pPr>
              <w:widowControl/>
              <w:spacing w:line="260" w:lineRule="exact"/>
              <w:ind w:firstLineChars="200" w:firstLine="42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深入贯彻落实习近平文化思想，坚持</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优势更优，特色更特、强项更强</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的发展理念，筑牢文化遗产发展根基，融合文、教、农、旅等优势资源，擦亮</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中国龙文化之乡</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中国曲艺之乡</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等城市名片，加速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中国龙文化名城</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实现进程。坚决做好第四次文物普查工作，进一步挖掘梳理可移动文物、不可移动文物、非物质文化遗产等历史文化遗产资源，发挥好龙文化研究院和石刻文化研究院作用，深入推进</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龙城文史探源</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考古泸县</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重要文史研究项目。重点推进泸县宋代石刻保护与利用、泸县龙文化保护与旅游发展研究等系列研究课题出版形成可应用研究成果，助力提</w:t>
            </w:r>
            <w:r>
              <w:rPr>
                <w:rFonts w:ascii="Times New Roman" w:eastAsia="方正仿宋简体" w:hAnsi="Times New Roman"/>
                <w:color w:val="000000"/>
                <w:kern w:val="0"/>
                <w:szCs w:val="21"/>
              </w:rPr>
              <w:t>升泸县文化遗产保护和历史文化理论研究、价值挖掘、活化利用和管理能力。</w:t>
            </w:r>
          </w:p>
        </w:tc>
      </w:tr>
      <w:tr w:rsidR="00D6165D">
        <w:trPr>
          <w:trHeight w:val="397"/>
          <w:jc w:val="center"/>
        </w:trPr>
        <w:tc>
          <w:tcPr>
            <w:tcW w:w="291" w:type="pct"/>
            <w:vMerge w:val="restart"/>
            <w:vAlign w:val="center"/>
          </w:tcPr>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管理效率</w:t>
            </w:r>
          </w:p>
        </w:tc>
        <w:tc>
          <w:tcPr>
            <w:tcW w:w="473"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一级指标</w:t>
            </w:r>
          </w:p>
        </w:tc>
        <w:tc>
          <w:tcPr>
            <w:tcW w:w="559"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二级指标</w:t>
            </w:r>
          </w:p>
        </w:tc>
        <w:tc>
          <w:tcPr>
            <w:tcW w:w="915"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三级指标</w:t>
            </w:r>
          </w:p>
        </w:tc>
        <w:tc>
          <w:tcPr>
            <w:tcW w:w="625"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指标值</w:t>
            </w:r>
          </w:p>
        </w:tc>
        <w:tc>
          <w:tcPr>
            <w:tcW w:w="2133" w:type="pct"/>
            <w:gridSpan w:val="4"/>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指标设置参考值</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915"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625"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40"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三年</w:t>
            </w:r>
          </w:p>
        </w:tc>
        <w:tc>
          <w:tcPr>
            <w:tcW w:w="583"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2022</w:t>
            </w:r>
            <w:r>
              <w:rPr>
                <w:rStyle w:val="font21"/>
                <w:rFonts w:ascii="Times New Roman" w:eastAsia="方正仿宋简体" w:hAnsi="Times New Roman" w:cs="Times New Roman" w:hint="default"/>
              </w:rPr>
              <w:t>年</w:t>
            </w:r>
          </w:p>
        </w:tc>
        <w:tc>
          <w:tcPr>
            <w:tcW w:w="507"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2023</w:t>
            </w:r>
            <w:r>
              <w:rPr>
                <w:rStyle w:val="font21"/>
                <w:rFonts w:ascii="Times New Roman" w:eastAsia="方正仿宋简体" w:hAnsi="Times New Roman" w:cs="Times New Roman" w:hint="default"/>
              </w:rPr>
              <w:t>年</w:t>
            </w:r>
          </w:p>
        </w:tc>
        <w:tc>
          <w:tcPr>
            <w:tcW w:w="501"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2024</w:t>
            </w:r>
            <w:r>
              <w:rPr>
                <w:rStyle w:val="font21"/>
                <w:rFonts w:ascii="Times New Roman" w:eastAsia="方正仿宋简体" w:hAnsi="Times New Roman" w:cs="Times New Roman" w:hint="default"/>
              </w:rPr>
              <w:t>年</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915"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625"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40"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均值</w:t>
            </w:r>
          </w:p>
        </w:tc>
        <w:tc>
          <w:tcPr>
            <w:tcW w:w="58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07"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01" w:type="pct"/>
            <w:vMerge/>
            <w:vAlign w:val="center"/>
          </w:tcPr>
          <w:p w:rsidR="00D6165D" w:rsidRDefault="00D6165D">
            <w:pPr>
              <w:spacing w:line="260" w:lineRule="exact"/>
              <w:jc w:val="center"/>
              <w:rPr>
                <w:rFonts w:ascii="Times New Roman" w:eastAsia="方正仿宋简体" w:hAnsi="Times New Roman"/>
                <w:color w:val="000000"/>
                <w:szCs w:val="21"/>
              </w:rPr>
            </w:pP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成本指标</w:t>
            </w:r>
          </w:p>
        </w:tc>
        <w:tc>
          <w:tcPr>
            <w:tcW w:w="559"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预算管理</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财政拨款</w:t>
            </w:r>
            <w:r>
              <w:rPr>
                <w:rStyle w:val="font21"/>
                <w:rFonts w:ascii="Times New Roman" w:eastAsia="方正仿宋简体" w:hAnsi="Times New Roman" w:cs="Times New Roman" w:hint="default"/>
              </w:rPr>
              <w:t>预算编制偏离度</w:t>
            </w:r>
          </w:p>
        </w:tc>
        <w:tc>
          <w:tcPr>
            <w:tcW w:w="625" w:type="pct"/>
            <w:vAlign w:val="center"/>
          </w:tcPr>
          <w:p w:rsidR="00D6165D" w:rsidRDefault="003B37EB">
            <w:pPr>
              <w:widowControl/>
              <w:jc w:val="center"/>
              <w:textAlignment w:val="center"/>
              <w:rPr>
                <w:rFonts w:ascii="Times New Roman" w:eastAsia="方正黑体简体" w:hAnsi="Times New Roman"/>
                <w:color w:val="000000" w:themeColor="text1"/>
                <w:kern w:val="0"/>
                <w:szCs w:val="21"/>
                <w:lang/>
              </w:rPr>
            </w:pPr>
            <w:r>
              <w:rPr>
                <w:rFonts w:ascii="Times New Roman" w:eastAsia="方正黑体简体" w:hAnsi="Times New Roman"/>
                <w:color w:val="000000" w:themeColor="text1"/>
                <w:kern w:val="0"/>
                <w:szCs w:val="21"/>
                <w:lang/>
              </w:rPr>
              <w:t>≤1.7%</w:t>
            </w:r>
          </w:p>
        </w:tc>
        <w:tc>
          <w:tcPr>
            <w:tcW w:w="540"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hint="eastAsia"/>
                <w:color w:val="000000"/>
                <w:kern w:val="0"/>
                <w:szCs w:val="21"/>
              </w:rPr>
              <w:t>1.7</w:t>
            </w:r>
            <w:r>
              <w:rPr>
                <w:rStyle w:val="font21"/>
                <w:rFonts w:ascii="Times New Roman" w:eastAsia="方正仿宋简体" w:hAnsi="Times New Roman" w:cs="Times New Roman" w:hint="default"/>
              </w:rPr>
              <w:t>%</w:t>
            </w:r>
          </w:p>
        </w:tc>
        <w:tc>
          <w:tcPr>
            <w:tcW w:w="583"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1</w:t>
            </w:r>
            <w:r>
              <w:rPr>
                <w:rFonts w:ascii="Times New Roman" w:eastAsia="方正仿宋简体" w:hAnsi="Times New Roman" w:hint="eastAsia"/>
                <w:color w:val="000000"/>
                <w:szCs w:val="21"/>
              </w:rPr>
              <w:t>.7</w:t>
            </w:r>
            <w:r>
              <w:rPr>
                <w:rStyle w:val="font21"/>
                <w:rFonts w:ascii="Times New Roman" w:eastAsia="方正仿宋简体" w:hAnsi="Times New Roman" w:cs="Times New Roman" w:hint="default"/>
              </w:rPr>
              <w:t>%</w:t>
            </w:r>
          </w:p>
        </w:tc>
        <w:tc>
          <w:tcPr>
            <w:tcW w:w="507"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1</w:t>
            </w:r>
            <w:r>
              <w:rPr>
                <w:rFonts w:ascii="Times New Roman" w:eastAsia="方正仿宋简体" w:hAnsi="Times New Roman" w:hint="eastAsia"/>
                <w:color w:val="000000"/>
                <w:szCs w:val="21"/>
              </w:rPr>
              <w:t>.3</w:t>
            </w:r>
            <w:r>
              <w:rPr>
                <w:rStyle w:val="font21"/>
                <w:rFonts w:ascii="Times New Roman" w:eastAsia="方正仿宋简体" w:hAnsi="Times New Roman" w:cs="Times New Roman" w:hint="default"/>
              </w:rPr>
              <w:t>%</w:t>
            </w:r>
          </w:p>
        </w:tc>
        <w:tc>
          <w:tcPr>
            <w:tcW w:w="501"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hint="eastAsia"/>
                <w:color w:val="000000"/>
                <w:szCs w:val="21"/>
              </w:rPr>
              <w:t>2.2</w:t>
            </w:r>
            <w:r>
              <w:rPr>
                <w:rStyle w:val="font21"/>
                <w:rFonts w:ascii="Times New Roman" w:eastAsia="方正仿宋简体" w:hAnsi="Times New Roman" w:cs="Times New Roman" w:hint="default"/>
              </w:rPr>
              <w:t>%</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预算年终结余</w:t>
            </w:r>
            <w:r>
              <w:rPr>
                <w:rStyle w:val="font21"/>
                <w:rFonts w:ascii="Times New Roman" w:eastAsia="方正仿宋简体" w:hAnsi="Times New Roman" w:cs="Times New Roman" w:hint="default"/>
              </w:rPr>
              <w:t>率</w:t>
            </w:r>
          </w:p>
        </w:tc>
        <w:tc>
          <w:tcPr>
            <w:tcW w:w="62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≤30%</w:t>
            </w:r>
          </w:p>
        </w:tc>
        <w:tc>
          <w:tcPr>
            <w:tcW w:w="540"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32.9</w:t>
            </w:r>
            <w:r>
              <w:rPr>
                <w:rStyle w:val="font21"/>
                <w:rFonts w:ascii="Times New Roman" w:eastAsia="方正仿宋简体" w:hAnsi="Times New Roman" w:cs="Times New Roman" w:hint="default"/>
              </w:rPr>
              <w:t>%</w:t>
            </w:r>
          </w:p>
        </w:tc>
        <w:tc>
          <w:tcPr>
            <w:tcW w:w="583"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32.41</w:t>
            </w:r>
            <w:r>
              <w:rPr>
                <w:rStyle w:val="font21"/>
                <w:rFonts w:ascii="Times New Roman" w:eastAsia="方正仿宋简体" w:hAnsi="Times New Roman" w:cs="Times New Roman" w:hint="default"/>
              </w:rPr>
              <w:t>%</w:t>
            </w:r>
          </w:p>
        </w:tc>
        <w:tc>
          <w:tcPr>
            <w:tcW w:w="507"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27.10</w:t>
            </w:r>
            <w:r>
              <w:rPr>
                <w:rStyle w:val="font21"/>
                <w:rFonts w:ascii="Times New Roman" w:eastAsia="方正仿宋简体" w:hAnsi="Times New Roman" w:cs="Times New Roman" w:hint="default"/>
              </w:rPr>
              <w:t>%</w:t>
            </w:r>
          </w:p>
        </w:tc>
        <w:tc>
          <w:tcPr>
            <w:tcW w:w="501" w:type="pct"/>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39.2</w:t>
            </w:r>
            <w:r>
              <w:rPr>
                <w:rStyle w:val="font21"/>
                <w:rFonts w:ascii="Times New Roman" w:eastAsia="方正仿宋简体" w:hAnsi="Times New Roman" w:cs="Times New Roman" w:hint="default"/>
              </w:rPr>
              <w:t>%</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一般性支出</w:t>
            </w:r>
            <w:r>
              <w:rPr>
                <w:rStyle w:val="font21"/>
                <w:rFonts w:ascii="Times New Roman" w:eastAsia="方正仿宋简体" w:hAnsi="Times New Roman" w:cs="Times New Roman" w:hint="default"/>
              </w:rPr>
              <w:t>金额</w:t>
            </w:r>
          </w:p>
        </w:tc>
        <w:tc>
          <w:tcPr>
            <w:tcW w:w="62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≤500</w:t>
            </w:r>
            <w:r>
              <w:rPr>
                <w:rStyle w:val="font21"/>
                <w:rFonts w:ascii="Times New Roman" w:eastAsia="方正仿宋简体" w:hAnsi="Times New Roman" w:cs="Times New Roman" w:hint="default"/>
              </w:rPr>
              <w:t>万元</w:t>
            </w:r>
          </w:p>
        </w:tc>
        <w:tc>
          <w:tcPr>
            <w:tcW w:w="2133" w:type="pct"/>
            <w:gridSpan w:val="4"/>
            <w:vAlign w:val="center"/>
          </w:tcPr>
          <w:p w:rsidR="00D6165D" w:rsidRDefault="003B37EB">
            <w:pPr>
              <w:widowControl/>
              <w:spacing w:line="260" w:lineRule="exact"/>
              <w:jc w:val="left"/>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500</w:t>
            </w:r>
            <w:r>
              <w:rPr>
                <w:rFonts w:ascii="Times New Roman" w:eastAsia="方正仿宋简体" w:hAnsi="Times New Roman"/>
                <w:color w:val="000000"/>
                <w:kern w:val="0"/>
                <w:szCs w:val="21"/>
              </w:rPr>
              <w:t>万</w:t>
            </w:r>
            <w:r>
              <w:rPr>
                <w:rFonts w:ascii="Times New Roman" w:eastAsia="方正仿宋简体" w:hAnsi="Times New Roman" w:hint="eastAsia"/>
                <w:color w:val="000000"/>
                <w:kern w:val="0"/>
                <w:szCs w:val="21"/>
              </w:rPr>
              <w:t>元</w:t>
            </w:r>
            <w:r>
              <w:rPr>
                <w:rStyle w:val="font21"/>
                <w:rFonts w:ascii="Times New Roman" w:eastAsia="方正仿宋简体" w:hAnsi="Times New Roman" w:cs="Times New Roman" w:hint="default"/>
              </w:rPr>
              <w:t>为上年一般性支出金额</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财务管理</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财务管理规范</w:t>
            </w:r>
          </w:p>
        </w:tc>
        <w:tc>
          <w:tcPr>
            <w:tcW w:w="62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优</w:t>
            </w:r>
          </w:p>
        </w:tc>
        <w:tc>
          <w:tcPr>
            <w:tcW w:w="2133" w:type="pct"/>
            <w:gridSpan w:val="4"/>
            <w:vAlign w:val="center"/>
          </w:tcPr>
          <w:p w:rsidR="00D6165D" w:rsidRDefault="003B37EB">
            <w:pPr>
              <w:widowControl/>
              <w:spacing w:line="260" w:lineRule="exact"/>
              <w:jc w:val="left"/>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建立财务管理制度；部门财务岗位设置符合相关财务管理制度要求；部门资金使用符合相关财务管理制度规定</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采购管理</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采购执行率</w:t>
            </w:r>
          </w:p>
        </w:tc>
        <w:tc>
          <w:tcPr>
            <w:tcW w:w="1213" w:type="dxa"/>
            <w:vAlign w:val="center"/>
          </w:tcPr>
          <w:p w:rsidR="00D6165D" w:rsidRDefault="003B37EB">
            <w:pPr>
              <w:widowControl/>
              <w:spacing w:line="30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≥100%</w:t>
            </w:r>
          </w:p>
        </w:tc>
        <w:tc>
          <w:tcPr>
            <w:tcW w:w="1048" w:type="dxa"/>
            <w:vAlign w:val="center"/>
          </w:tcPr>
          <w:p w:rsidR="00D6165D" w:rsidRDefault="003B37EB">
            <w:pPr>
              <w:widowControl/>
              <w:spacing w:line="30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100</w:t>
            </w:r>
            <w:r>
              <w:rPr>
                <w:rStyle w:val="font21"/>
                <w:rFonts w:ascii="Times New Roman" w:eastAsia="方正仿宋简体" w:hAnsi="Times New Roman" w:cs="Times New Roman" w:hint="default"/>
              </w:rPr>
              <w:t>%</w:t>
            </w:r>
          </w:p>
        </w:tc>
        <w:tc>
          <w:tcPr>
            <w:tcW w:w="1131" w:type="dxa"/>
            <w:vAlign w:val="center"/>
          </w:tcPr>
          <w:p w:rsidR="00D6165D" w:rsidRDefault="003B37EB">
            <w:pPr>
              <w:spacing w:line="300" w:lineRule="exact"/>
              <w:jc w:val="center"/>
              <w:rPr>
                <w:rFonts w:ascii="Times New Roman" w:eastAsia="方正仿宋简体" w:hAnsi="Times New Roman"/>
                <w:color w:val="000000"/>
                <w:szCs w:val="21"/>
              </w:rPr>
            </w:pPr>
            <w:r>
              <w:rPr>
                <w:rFonts w:ascii="Times New Roman" w:eastAsia="方正仿宋简体" w:hAnsi="Times New Roman"/>
                <w:color w:val="000000"/>
                <w:kern w:val="0"/>
                <w:szCs w:val="21"/>
              </w:rPr>
              <w:t>100</w:t>
            </w:r>
            <w:r>
              <w:rPr>
                <w:rStyle w:val="font21"/>
                <w:rFonts w:ascii="Times New Roman" w:eastAsia="方正仿宋简体" w:hAnsi="Times New Roman" w:cs="Times New Roman" w:hint="default"/>
              </w:rPr>
              <w:t>%</w:t>
            </w:r>
          </w:p>
        </w:tc>
        <w:tc>
          <w:tcPr>
            <w:tcW w:w="984" w:type="dxa"/>
            <w:vAlign w:val="center"/>
          </w:tcPr>
          <w:p w:rsidR="00D6165D" w:rsidRDefault="003B37EB">
            <w:pPr>
              <w:spacing w:line="300" w:lineRule="exact"/>
              <w:jc w:val="center"/>
              <w:rPr>
                <w:rFonts w:ascii="Times New Roman" w:eastAsia="方正仿宋简体" w:hAnsi="Times New Roman"/>
                <w:color w:val="000000"/>
                <w:szCs w:val="21"/>
              </w:rPr>
            </w:pPr>
            <w:r>
              <w:rPr>
                <w:rFonts w:ascii="Times New Roman" w:eastAsia="方正仿宋简体" w:hAnsi="Times New Roman"/>
                <w:color w:val="000000"/>
                <w:kern w:val="0"/>
                <w:szCs w:val="21"/>
              </w:rPr>
              <w:t>100</w:t>
            </w:r>
            <w:r>
              <w:rPr>
                <w:rStyle w:val="font21"/>
                <w:rFonts w:ascii="Times New Roman" w:eastAsia="方正仿宋简体" w:hAnsi="Times New Roman" w:cs="Times New Roman" w:hint="default"/>
              </w:rPr>
              <w:t>%</w:t>
            </w:r>
          </w:p>
        </w:tc>
        <w:tc>
          <w:tcPr>
            <w:tcW w:w="972" w:type="dxa"/>
            <w:vAlign w:val="center"/>
          </w:tcPr>
          <w:p w:rsidR="00D6165D" w:rsidRDefault="003B37EB">
            <w:pPr>
              <w:spacing w:line="300" w:lineRule="exact"/>
              <w:jc w:val="center"/>
              <w:rPr>
                <w:rFonts w:ascii="Times New Roman" w:eastAsia="方正仿宋简体" w:hAnsi="Times New Roman"/>
                <w:color w:val="000000"/>
                <w:szCs w:val="21"/>
              </w:rPr>
            </w:pPr>
            <w:r>
              <w:rPr>
                <w:rFonts w:ascii="Times New Roman" w:eastAsia="方正仿宋简体" w:hAnsi="Times New Roman"/>
                <w:color w:val="000000"/>
                <w:kern w:val="0"/>
                <w:szCs w:val="21"/>
              </w:rPr>
              <w:t>100</w:t>
            </w:r>
            <w:r>
              <w:rPr>
                <w:rStyle w:val="font21"/>
                <w:rFonts w:ascii="Times New Roman" w:eastAsia="方正仿宋简体" w:hAnsi="Times New Roman" w:cs="Times New Roman" w:hint="default"/>
              </w:rPr>
              <w:t>%</w:t>
            </w:r>
          </w:p>
        </w:tc>
      </w:tr>
      <w:tr w:rsidR="00D6165D">
        <w:trPr>
          <w:trHeight w:val="397"/>
          <w:jc w:val="center"/>
        </w:trPr>
        <w:tc>
          <w:tcPr>
            <w:tcW w:w="291" w:type="pct"/>
            <w:vMerge w:val="restart"/>
            <w:vAlign w:val="center"/>
          </w:tcPr>
          <w:p w:rsidR="00D6165D" w:rsidRDefault="003B37EB">
            <w:pPr>
              <w:widowControl/>
              <w:spacing w:line="260" w:lineRule="exact"/>
              <w:jc w:val="center"/>
              <w:textAlignment w:val="center"/>
              <w:rPr>
                <w:rFonts w:ascii="Times New Roman" w:eastAsia="方正仿宋简体" w:hAnsi="Times New Roman"/>
                <w:b/>
                <w:bCs/>
                <w:color w:val="000000"/>
                <w:szCs w:val="21"/>
              </w:rPr>
            </w:pPr>
            <w:r>
              <w:rPr>
                <w:rFonts w:ascii="Times New Roman" w:eastAsia="方正仿宋简体" w:hAnsi="Times New Roman"/>
                <w:b/>
                <w:bCs/>
                <w:color w:val="000000"/>
                <w:kern w:val="0"/>
                <w:szCs w:val="21"/>
              </w:rPr>
              <w:t>履职效能</w:t>
            </w:r>
          </w:p>
        </w:tc>
        <w:tc>
          <w:tcPr>
            <w:tcW w:w="473"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一级指标</w:t>
            </w: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二级指标</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三级指标</w:t>
            </w:r>
          </w:p>
        </w:tc>
        <w:tc>
          <w:tcPr>
            <w:tcW w:w="2759" w:type="pct"/>
            <w:gridSpan w:val="5"/>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指标值（包含数字及文字描述）</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restart"/>
            <w:vAlign w:val="center"/>
          </w:tcPr>
          <w:p w:rsidR="00D6165D" w:rsidRDefault="003B37EB">
            <w:pPr>
              <w:spacing w:line="260" w:lineRule="exact"/>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产出指标</w:t>
            </w:r>
          </w:p>
        </w:tc>
        <w:tc>
          <w:tcPr>
            <w:tcW w:w="559"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数量指标</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szCs w:val="21"/>
              </w:rPr>
            </w:pPr>
            <w:r>
              <w:rPr>
                <w:rFonts w:ascii="Times New Roman" w:eastAsia="方正仿宋简体" w:hAnsi="Times New Roman"/>
                <w:szCs w:val="21"/>
              </w:rPr>
              <w:t>免费开放单位个数</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不少于</w:t>
            </w:r>
            <w:r>
              <w:rPr>
                <w:rFonts w:ascii="Times New Roman" w:eastAsia="方正仿宋简体" w:hAnsi="Times New Roman"/>
                <w:color w:val="000000"/>
                <w:szCs w:val="21"/>
              </w:rPr>
              <w:t>23</w:t>
            </w:r>
            <w:r>
              <w:rPr>
                <w:rFonts w:ascii="Times New Roman" w:eastAsia="方正仿宋简体" w:hAnsi="Times New Roman"/>
                <w:color w:val="000000"/>
                <w:szCs w:val="21"/>
              </w:rPr>
              <w:t>个</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widowControl/>
              <w:spacing w:line="260" w:lineRule="exact"/>
              <w:jc w:val="center"/>
              <w:textAlignment w:val="center"/>
              <w:rPr>
                <w:rFonts w:ascii="Times New Roman" w:eastAsia="方正仿宋简体" w:hAnsi="Times New Roman"/>
                <w:color w:val="000000"/>
                <w:kern w:val="0"/>
                <w:szCs w:val="21"/>
              </w:rPr>
            </w:pPr>
          </w:p>
        </w:tc>
        <w:tc>
          <w:tcPr>
            <w:tcW w:w="559" w:type="pct"/>
            <w:vMerge/>
            <w:vAlign w:val="center"/>
          </w:tcPr>
          <w:p w:rsidR="00D6165D" w:rsidRDefault="00D6165D">
            <w:pPr>
              <w:spacing w:line="260" w:lineRule="exact"/>
              <w:jc w:val="center"/>
              <w:textAlignment w:val="center"/>
              <w:rPr>
                <w:rFonts w:ascii="Times New Roman" w:eastAsia="方正仿宋简体" w:hAnsi="Times New Roman"/>
                <w:color w:val="000000"/>
                <w:kern w:val="0"/>
                <w:szCs w:val="21"/>
              </w:rPr>
            </w:pP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szCs w:val="21"/>
              </w:rPr>
            </w:pPr>
            <w:r>
              <w:rPr>
                <w:rFonts w:ascii="Times New Roman" w:eastAsia="方正仿宋简体" w:hAnsi="Times New Roman"/>
                <w:szCs w:val="21"/>
              </w:rPr>
              <w:t>县、市、省、国家级非遗传承人数</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不少于</w:t>
            </w:r>
            <w:r>
              <w:rPr>
                <w:rFonts w:ascii="Times New Roman" w:eastAsia="方正仿宋简体" w:hAnsi="Times New Roman"/>
                <w:color w:val="000000"/>
                <w:szCs w:val="21"/>
              </w:rPr>
              <w:t>138</w:t>
            </w:r>
            <w:r>
              <w:rPr>
                <w:rFonts w:ascii="Times New Roman" w:eastAsia="方正仿宋简体" w:hAnsi="Times New Roman"/>
                <w:color w:val="000000"/>
                <w:szCs w:val="21"/>
              </w:rPr>
              <w:t>人</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widowControl/>
              <w:spacing w:line="260" w:lineRule="exact"/>
              <w:jc w:val="center"/>
              <w:textAlignment w:val="center"/>
              <w:rPr>
                <w:rFonts w:ascii="Times New Roman" w:eastAsia="方正仿宋简体" w:hAnsi="Times New Roman"/>
                <w:color w:val="000000"/>
                <w:kern w:val="0"/>
                <w:szCs w:val="21"/>
              </w:rPr>
            </w:pPr>
          </w:p>
        </w:tc>
        <w:tc>
          <w:tcPr>
            <w:tcW w:w="559" w:type="pct"/>
            <w:vMerge/>
            <w:vAlign w:val="center"/>
          </w:tcPr>
          <w:p w:rsidR="00D6165D" w:rsidRDefault="00D6165D">
            <w:pPr>
              <w:spacing w:line="260" w:lineRule="exact"/>
              <w:jc w:val="center"/>
              <w:textAlignment w:val="center"/>
              <w:rPr>
                <w:rFonts w:ascii="Times New Roman" w:eastAsia="方正仿宋简体" w:hAnsi="Times New Roman"/>
                <w:color w:val="000000"/>
                <w:kern w:val="0"/>
                <w:szCs w:val="21"/>
              </w:rPr>
            </w:pP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szCs w:val="21"/>
              </w:rPr>
            </w:pPr>
            <w:r>
              <w:rPr>
                <w:rFonts w:ascii="Times New Roman" w:eastAsia="方正仿宋简体" w:hAnsi="Times New Roman"/>
                <w:szCs w:val="21"/>
              </w:rPr>
              <w:t>文物保护单位个数</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不少于</w:t>
            </w:r>
            <w:r>
              <w:rPr>
                <w:rFonts w:ascii="Times New Roman" w:eastAsia="方正仿宋简体" w:hAnsi="Times New Roman"/>
                <w:color w:val="000000"/>
                <w:szCs w:val="21"/>
              </w:rPr>
              <w:t>155</w:t>
            </w:r>
            <w:r>
              <w:rPr>
                <w:rFonts w:ascii="Times New Roman" w:eastAsia="方正仿宋简体" w:hAnsi="Times New Roman"/>
                <w:color w:val="000000"/>
                <w:szCs w:val="21"/>
              </w:rPr>
              <w:t>处</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widowControl/>
              <w:spacing w:line="260" w:lineRule="exact"/>
              <w:jc w:val="center"/>
              <w:textAlignment w:val="center"/>
              <w:rPr>
                <w:rFonts w:ascii="Times New Roman" w:eastAsia="方正仿宋简体" w:hAnsi="Times New Roman"/>
                <w:color w:val="000000"/>
                <w:szCs w:val="21"/>
              </w:rPr>
            </w:pPr>
          </w:p>
        </w:tc>
        <w:tc>
          <w:tcPr>
            <w:tcW w:w="559" w:type="pct"/>
            <w:vMerge/>
            <w:vAlign w:val="center"/>
          </w:tcPr>
          <w:p w:rsidR="00D6165D" w:rsidRDefault="00D6165D">
            <w:pPr>
              <w:widowControl/>
              <w:spacing w:line="260" w:lineRule="exact"/>
              <w:jc w:val="center"/>
              <w:textAlignment w:val="center"/>
              <w:rPr>
                <w:rFonts w:ascii="Times New Roman" w:eastAsia="方正仿宋简体" w:hAnsi="Times New Roman"/>
                <w:color w:val="000000"/>
                <w:szCs w:val="21"/>
              </w:rPr>
            </w:pP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szCs w:val="21"/>
              </w:rPr>
              <w:t>公益演出场次</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不少于</w:t>
            </w:r>
            <w:r>
              <w:rPr>
                <w:rFonts w:ascii="Times New Roman" w:eastAsia="方正仿宋简体" w:hAnsi="Times New Roman"/>
                <w:color w:val="000000"/>
                <w:szCs w:val="21"/>
              </w:rPr>
              <w:t>10</w:t>
            </w:r>
            <w:r>
              <w:rPr>
                <w:rFonts w:ascii="Times New Roman" w:eastAsia="方正仿宋简体" w:hAnsi="Times New Roman"/>
                <w:color w:val="000000"/>
                <w:szCs w:val="21"/>
              </w:rPr>
              <w:t>场次</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restart"/>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质量指标</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szCs w:val="21"/>
              </w:rPr>
              <w:t>文物保护单位安全</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szCs w:val="21"/>
              </w:rPr>
              <w:t>不发生重大文物安全事故</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时效指标</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szCs w:val="21"/>
              </w:rPr>
              <w:t>完成时限</w:t>
            </w:r>
          </w:p>
        </w:tc>
        <w:tc>
          <w:tcPr>
            <w:tcW w:w="2759" w:type="pct"/>
            <w:gridSpan w:val="5"/>
            <w:vAlign w:val="center"/>
          </w:tcPr>
          <w:p w:rsidR="00D6165D" w:rsidRDefault="003B37EB">
            <w:pPr>
              <w:spacing w:line="260" w:lineRule="exact"/>
              <w:jc w:val="center"/>
              <w:rPr>
                <w:rFonts w:ascii="Times New Roman" w:eastAsia="方正仿宋简体" w:hAnsi="Times New Roman"/>
                <w:color w:val="000000"/>
                <w:szCs w:val="21"/>
              </w:rPr>
            </w:pPr>
            <w:r>
              <w:rPr>
                <w:rFonts w:ascii="Times New Roman" w:eastAsia="方正仿宋简体" w:hAnsi="Times New Roman"/>
                <w:color w:val="000000"/>
                <w:szCs w:val="21"/>
              </w:rPr>
              <w:t>12</w:t>
            </w:r>
            <w:r>
              <w:rPr>
                <w:rFonts w:ascii="Times New Roman" w:eastAsia="方正仿宋简体" w:hAnsi="Times New Roman"/>
                <w:color w:val="000000"/>
                <w:szCs w:val="21"/>
              </w:rPr>
              <w:t>月底前完成</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restar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效益指标</w:t>
            </w: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社会效益指标</w:t>
            </w:r>
          </w:p>
        </w:tc>
        <w:tc>
          <w:tcPr>
            <w:tcW w:w="915" w:type="pct"/>
          </w:tcPr>
          <w:p w:rsidR="00D6165D" w:rsidRDefault="003B37EB">
            <w:pPr>
              <w:spacing w:line="260" w:lineRule="exact"/>
              <w:rPr>
                <w:rFonts w:ascii="Times New Roman" w:eastAsia="方正仿宋简体" w:hAnsi="Times New Roman"/>
                <w:szCs w:val="21"/>
              </w:rPr>
            </w:pPr>
            <w:r>
              <w:rPr>
                <w:rFonts w:ascii="Times New Roman" w:eastAsia="方正仿宋简体" w:hAnsi="Times New Roman"/>
                <w:szCs w:val="21"/>
              </w:rPr>
              <w:t>开展文旅消费促进活动</w:t>
            </w:r>
          </w:p>
        </w:tc>
        <w:tc>
          <w:tcPr>
            <w:tcW w:w="2759" w:type="pct"/>
            <w:gridSpan w:val="5"/>
          </w:tcPr>
          <w:p w:rsidR="00D6165D" w:rsidRDefault="003B37EB">
            <w:pPr>
              <w:spacing w:line="260" w:lineRule="exact"/>
              <w:rPr>
                <w:rFonts w:ascii="Times New Roman" w:eastAsia="方正仿宋简体" w:hAnsi="Times New Roman"/>
                <w:szCs w:val="21"/>
              </w:rPr>
            </w:pPr>
            <w:r>
              <w:rPr>
                <w:rFonts w:ascii="Times New Roman" w:eastAsia="方正仿宋简体" w:hAnsi="Times New Roman"/>
                <w:szCs w:val="21"/>
              </w:rPr>
              <w:t>深化文旅消费，指导企业举办特色文旅活动</w:t>
            </w:r>
          </w:p>
        </w:tc>
      </w:tr>
      <w:tr w:rsidR="00D6165D">
        <w:trPr>
          <w:trHeight w:val="397"/>
          <w:jc w:val="center"/>
        </w:trPr>
        <w:tc>
          <w:tcPr>
            <w:tcW w:w="291" w:type="pct"/>
            <w:vMerge/>
            <w:vAlign w:val="center"/>
          </w:tcPr>
          <w:p w:rsidR="00D6165D" w:rsidRDefault="00D6165D">
            <w:pPr>
              <w:spacing w:line="260" w:lineRule="exact"/>
              <w:jc w:val="center"/>
              <w:rPr>
                <w:rFonts w:ascii="Times New Roman" w:eastAsia="方正仿宋简体" w:hAnsi="Times New Roman"/>
                <w:b/>
                <w:bCs/>
                <w:color w:val="000000"/>
                <w:szCs w:val="21"/>
              </w:rPr>
            </w:pPr>
          </w:p>
        </w:tc>
        <w:tc>
          <w:tcPr>
            <w:tcW w:w="473" w:type="pct"/>
            <w:vMerge/>
            <w:vAlign w:val="center"/>
          </w:tcPr>
          <w:p w:rsidR="00D6165D" w:rsidRDefault="00D6165D">
            <w:pPr>
              <w:spacing w:line="260" w:lineRule="exact"/>
              <w:jc w:val="center"/>
              <w:rPr>
                <w:rFonts w:ascii="Times New Roman" w:eastAsia="方正仿宋简体" w:hAnsi="Times New Roman"/>
                <w:color w:val="000000"/>
                <w:szCs w:val="21"/>
              </w:rPr>
            </w:pPr>
          </w:p>
        </w:tc>
        <w:tc>
          <w:tcPr>
            <w:tcW w:w="559"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color w:val="000000"/>
                <w:kern w:val="0"/>
                <w:szCs w:val="21"/>
              </w:rPr>
              <w:t>可持续影响指标</w:t>
            </w:r>
          </w:p>
        </w:tc>
        <w:tc>
          <w:tcPr>
            <w:tcW w:w="915" w:type="pct"/>
            <w:vAlign w:val="center"/>
          </w:tcPr>
          <w:p w:rsidR="00D6165D" w:rsidRDefault="003B37EB">
            <w:pPr>
              <w:widowControl/>
              <w:spacing w:line="260" w:lineRule="exact"/>
              <w:jc w:val="center"/>
              <w:textAlignment w:val="center"/>
              <w:rPr>
                <w:rFonts w:ascii="Times New Roman" w:eastAsia="方正仿宋简体" w:hAnsi="Times New Roman"/>
                <w:color w:val="000000"/>
                <w:szCs w:val="21"/>
              </w:rPr>
            </w:pPr>
            <w:r>
              <w:rPr>
                <w:rFonts w:ascii="Times New Roman" w:eastAsia="方正仿宋简体" w:hAnsi="Times New Roman"/>
                <w:szCs w:val="21"/>
              </w:rPr>
              <w:t>提高广大群众的精神文化生活需求</w:t>
            </w:r>
          </w:p>
        </w:tc>
        <w:tc>
          <w:tcPr>
            <w:tcW w:w="2759" w:type="pct"/>
            <w:gridSpan w:val="5"/>
          </w:tcPr>
          <w:p w:rsidR="00D6165D" w:rsidRDefault="003B37EB">
            <w:pPr>
              <w:spacing w:line="260" w:lineRule="exact"/>
              <w:rPr>
                <w:rFonts w:ascii="Times New Roman" w:eastAsia="方正仿宋简体" w:hAnsi="Times New Roman"/>
                <w:szCs w:val="21"/>
              </w:rPr>
            </w:pPr>
            <w:r>
              <w:rPr>
                <w:rFonts w:ascii="Times New Roman" w:eastAsia="方正仿宋简体" w:hAnsi="Times New Roman"/>
                <w:szCs w:val="21"/>
              </w:rPr>
              <w:t>提高广大群众的精神文化生活需求，促进泸县文化发展大繁荣</w:t>
            </w:r>
          </w:p>
        </w:tc>
      </w:tr>
    </w:tbl>
    <w:p w:rsidR="00D6165D" w:rsidRPr="009E1363" w:rsidRDefault="00D6165D">
      <w:pPr>
        <w:rPr>
          <w:rFonts w:ascii="Times New Roman" w:hAnsi="Times New Roman"/>
        </w:rPr>
      </w:pPr>
    </w:p>
    <w:sectPr w:rsidR="00D6165D" w:rsidRPr="009E1363" w:rsidSect="00D6165D">
      <w:pgSz w:w="11906" w:h="16838"/>
      <w:pgMar w:top="1587" w:right="1134" w:bottom="158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EB" w:rsidRDefault="003B37EB" w:rsidP="009E1363">
      <w:r>
        <w:separator/>
      </w:r>
    </w:p>
  </w:endnote>
  <w:endnote w:type="continuationSeparator" w:id="1">
    <w:p w:rsidR="003B37EB" w:rsidRDefault="003B37EB" w:rsidP="009E13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altName w:val="方正小标宋简体"/>
    <w:charset w:val="00"/>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EB" w:rsidRDefault="003B37EB" w:rsidP="009E1363">
      <w:r>
        <w:separator/>
      </w:r>
    </w:p>
  </w:footnote>
  <w:footnote w:type="continuationSeparator" w:id="1">
    <w:p w:rsidR="003B37EB" w:rsidRDefault="003B37EB" w:rsidP="009E13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306CB0"/>
    <w:rsid w:val="002924D0"/>
    <w:rsid w:val="003B37EB"/>
    <w:rsid w:val="009E1363"/>
    <w:rsid w:val="00D6165D"/>
    <w:rsid w:val="012F3F7C"/>
    <w:rsid w:val="03FC2E16"/>
    <w:rsid w:val="0BB743C6"/>
    <w:rsid w:val="0E922575"/>
    <w:rsid w:val="12442D06"/>
    <w:rsid w:val="13AA1353"/>
    <w:rsid w:val="175B29DE"/>
    <w:rsid w:val="1FEA77EA"/>
    <w:rsid w:val="27C47FCA"/>
    <w:rsid w:val="2BE2330D"/>
    <w:rsid w:val="2C796D04"/>
    <w:rsid w:val="2E6952B5"/>
    <w:rsid w:val="3168491E"/>
    <w:rsid w:val="38635A90"/>
    <w:rsid w:val="38833DC6"/>
    <w:rsid w:val="3A923B26"/>
    <w:rsid w:val="3ADB521F"/>
    <w:rsid w:val="3F4F7C6C"/>
    <w:rsid w:val="44AB2637"/>
    <w:rsid w:val="4A1D1724"/>
    <w:rsid w:val="574C0B47"/>
    <w:rsid w:val="584F4EF2"/>
    <w:rsid w:val="5A4440A8"/>
    <w:rsid w:val="5DBA0DD1"/>
    <w:rsid w:val="5E5D76E0"/>
    <w:rsid w:val="65D2051C"/>
    <w:rsid w:val="680B32BF"/>
    <w:rsid w:val="6DD67943"/>
    <w:rsid w:val="6DF95579"/>
    <w:rsid w:val="75306CB0"/>
    <w:rsid w:val="76CC75F6"/>
    <w:rsid w:val="7E796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65D"/>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D6165D"/>
    <w:pPr>
      <w:spacing w:after="140" w:line="276" w:lineRule="auto"/>
    </w:pPr>
  </w:style>
  <w:style w:type="paragraph" w:styleId="2">
    <w:name w:val="Body Text Indent 2"/>
    <w:basedOn w:val="a"/>
    <w:qFormat/>
    <w:rsid w:val="00D6165D"/>
    <w:pPr>
      <w:spacing w:after="120" w:line="480" w:lineRule="auto"/>
      <w:ind w:leftChars="200" w:left="420"/>
    </w:pPr>
  </w:style>
  <w:style w:type="paragraph" w:styleId="a4">
    <w:name w:val="footer"/>
    <w:basedOn w:val="a"/>
    <w:rsid w:val="00D6165D"/>
    <w:pPr>
      <w:tabs>
        <w:tab w:val="center" w:pos="4153"/>
        <w:tab w:val="right" w:pos="8306"/>
      </w:tabs>
      <w:snapToGrid w:val="0"/>
      <w:jc w:val="left"/>
    </w:pPr>
    <w:rPr>
      <w:sz w:val="18"/>
    </w:rPr>
  </w:style>
  <w:style w:type="paragraph" w:styleId="a5">
    <w:name w:val="header"/>
    <w:basedOn w:val="a"/>
    <w:rsid w:val="00D616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6165D"/>
    <w:pPr>
      <w:spacing w:before="100" w:beforeAutospacing="1" w:after="100" w:afterAutospacing="1"/>
      <w:jc w:val="left"/>
    </w:pPr>
    <w:rPr>
      <w:kern w:val="0"/>
      <w:sz w:val="24"/>
    </w:rPr>
  </w:style>
  <w:style w:type="character" w:styleId="a7">
    <w:name w:val="Strong"/>
    <w:basedOn w:val="a0"/>
    <w:qFormat/>
    <w:rsid w:val="00D6165D"/>
    <w:rPr>
      <w:b/>
    </w:rPr>
  </w:style>
  <w:style w:type="character" w:customStyle="1" w:styleId="font21">
    <w:name w:val="font21"/>
    <w:basedOn w:val="a0"/>
    <w:qFormat/>
    <w:rsid w:val="00D6165D"/>
    <w:rPr>
      <w:rFonts w:ascii="宋体" w:eastAsia="宋体" w:hAnsi="宋体" w:cs="宋体" w:hint="eastAsia"/>
      <w:color w:val="000000"/>
      <w:sz w:val="21"/>
      <w:szCs w:val="21"/>
      <w:u w:val="none"/>
    </w:rPr>
  </w:style>
  <w:style w:type="character" w:customStyle="1" w:styleId="font61">
    <w:name w:val="font61"/>
    <w:basedOn w:val="a0"/>
    <w:qFormat/>
    <w:rsid w:val="00D6165D"/>
    <w:rPr>
      <w:rFonts w:ascii="宋体" w:eastAsia="宋体" w:hAnsi="宋体" w:cs="宋体" w:hint="eastAsia"/>
      <w:color w:val="000000"/>
      <w:sz w:val="21"/>
      <w:szCs w:val="21"/>
      <w:u w:val="none"/>
    </w:rPr>
  </w:style>
  <w:style w:type="character" w:customStyle="1" w:styleId="font91">
    <w:name w:val="font91"/>
    <w:basedOn w:val="a0"/>
    <w:qFormat/>
    <w:rsid w:val="00D6165D"/>
    <w:rPr>
      <w:rFonts w:ascii="宋体" w:eastAsia="宋体" w:hAnsi="宋体" w:cs="宋体" w:hint="eastAsia"/>
      <w:color w:val="FF0000"/>
      <w:sz w:val="21"/>
      <w:szCs w:val="21"/>
      <w:u w:val="none"/>
    </w:rPr>
  </w:style>
  <w:style w:type="character" w:customStyle="1" w:styleId="font101">
    <w:name w:val="font101"/>
    <w:basedOn w:val="a0"/>
    <w:qFormat/>
    <w:rsid w:val="00D6165D"/>
    <w:rPr>
      <w:rFonts w:ascii="宋体" w:eastAsia="宋体" w:hAnsi="宋体" w:cs="宋体" w:hint="eastAsia"/>
      <w:color w:val="0070C0"/>
      <w:sz w:val="21"/>
      <w:szCs w:val="21"/>
      <w:u w:val="none"/>
    </w:rPr>
  </w:style>
  <w:style w:type="paragraph" w:customStyle="1" w:styleId="a8">
    <w:name w:val="表格"/>
    <w:basedOn w:val="a"/>
    <w:qFormat/>
    <w:rsid w:val="00D6165D"/>
    <w:pPr>
      <w:widowControl/>
      <w:spacing w:line="260" w:lineRule="exact"/>
      <w:jc w:val="center"/>
    </w:pPr>
    <w:rPr>
      <w:rFonts w:eastAsia="方正仿宋简体" w:cs="宋体"/>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win7</cp:lastModifiedBy>
  <cp:revision>2</cp:revision>
  <dcterms:created xsi:type="dcterms:W3CDTF">2025-03-03T06:09:00Z</dcterms:created>
  <dcterms:modified xsi:type="dcterms:W3CDTF">2025-03-06T02:58:00Z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B74ADAB687F44278B50C52163141D831_13</vt:lpwstr>
  </property>
  <property fmtid="{D5CDD505-2E9C-101B-9397-08002B2CF9AE}" pid="4" name="KSOTemplateDocerSaveRecord">
    <vt:lpwstr>eyJoZGlkIjoiYTM4MmJjYzRkNTI2ODQxZWVjMDcyMGZmNjA2N2Y5M2MiLCJ1c2VySWQiOiIxMjk3MTA3NDY3In0=</vt:lpwstr>
  </property>
</Properties>
</file>